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33B6" w14:textId="77777777" w:rsidR="004A5CDD" w:rsidRDefault="00A22587" w:rsidP="00A22587">
      <w:pPr>
        <w:jc w:val="center"/>
        <w:rPr>
          <w:b/>
          <w:sz w:val="28"/>
          <w:szCs w:val="28"/>
        </w:rPr>
      </w:pPr>
      <w:r w:rsidRPr="00DC4046">
        <w:rPr>
          <w:b/>
          <w:sz w:val="28"/>
          <w:szCs w:val="28"/>
        </w:rPr>
        <w:t>Provision Mapping – Auditing/Self Evaluation Tool</w:t>
      </w:r>
    </w:p>
    <w:p w14:paraId="3C87786D" w14:textId="77777777" w:rsidR="00DC4046" w:rsidRPr="00DC4046" w:rsidRDefault="00EF46FB" w:rsidP="00DC4046">
      <w:pPr>
        <w:rPr>
          <w:b/>
          <w:sz w:val="28"/>
          <w:szCs w:val="28"/>
        </w:rPr>
      </w:pPr>
      <w:r>
        <w:rPr>
          <w:b/>
          <w:sz w:val="28"/>
          <w:szCs w:val="28"/>
        </w:rPr>
        <w:t>Communication &amp; Interaction</w:t>
      </w:r>
      <w:r w:rsidR="00DC4046">
        <w:rPr>
          <w:b/>
          <w:sz w:val="28"/>
          <w:szCs w:val="28"/>
        </w:rPr>
        <w:t>:</w:t>
      </w:r>
    </w:p>
    <w:tbl>
      <w:tblPr>
        <w:tblStyle w:val="TableGrid"/>
        <w:tblW w:w="0" w:type="auto"/>
        <w:tblLook w:val="04A0" w:firstRow="1" w:lastRow="0" w:firstColumn="1" w:lastColumn="0" w:noHBand="0" w:noVBand="1"/>
      </w:tblPr>
      <w:tblGrid>
        <w:gridCol w:w="499"/>
        <w:gridCol w:w="3578"/>
        <w:gridCol w:w="3402"/>
        <w:gridCol w:w="3402"/>
        <w:gridCol w:w="3402"/>
      </w:tblGrid>
      <w:tr w:rsidR="00133D77" w14:paraId="110D0C0F" w14:textId="77777777" w:rsidTr="00133D77">
        <w:tc>
          <w:tcPr>
            <w:tcW w:w="499" w:type="dxa"/>
          </w:tcPr>
          <w:p w14:paraId="3423C6FD" w14:textId="77777777" w:rsidR="00133D77" w:rsidRDefault="00133D77" w:rsidP="00A22587">
            <w:pPr>
              <w:jc w:val="center"/>
            </w:pPr>
          </w:p>
        </w:tc>
        <w:tc>
          <w:tcPr>
            <w:tcW w:w="3578" w:type="dxa"/>
          </w:tcPr>
          <w:p w14:paraId="5B95A622" w14:textId="77777777" w:rsidR="00133D77" w:rsidRDefault="00133D77" w:rsidP="00A22587">
            <w:pPr>
              <w:jc w:val="center"/>
            </w:pPr>
          </w:p>
        </w:tc>
        <w:tc>
          <w:tcPr>
            <w:tcW w:w="3402" w:type="dxa"/>
          </w:tcPr>
          <w:p w14:paraId="17135878" w14:textId="77777777" w:rsidR="00133D77" w:rsidRPr="00DC4046" w:rsidRDefault="00133D77" w:rsidP="00A22587">
            <w:pPr>
              <w:jc w:val="center"/>
              <w:rPr>
                <w:b/>
              </w:rPr>
            </w:pPr>
            <w:r w:rsidRPr="00DC4046">
              <w:rPr>
                <w:b/>
              </w:rPr>
              <w:t>Current Provision</w:t>
            </w:r>
          </w:p>
          <w:p w14:paraId="5C35BF92" w14:textId="77777777" w:rsidR="00133D77" w:rsidRPr="00DC4046" w:rsidRDefault="00133D77" w:rsidP="00A22587">
            <w:pPr>
              <w:jc w:val="center"/>
              <w:rPr>
                <w:b/>
              </w:rPr>
            </w:pPr>
            <w:r w:rsidRPr="00DC4046">
              <w:rPr>
                <w:b/>
              </w:rPr>
              <w:t>Environment &amp; Resources</w:t>
            </w:r>
          </w:p>
        </w:tc>
        <w:tc>
          <w:tcPr>
            <w:tcW w:w="3402" w:type="dxa"/>
          </w:tcPr>
          <w:p w14:paraId="150324ED" w14:textId="77777777" w:rsidR="00133D77" w:rsidRPr="00DC4046" w:rsidRDefault="00133D77" w:rsidP="00A22587">
            <w:pPr>
              <w:jc w:val="center"/>
              <w:rPr>
                <w:b/>
              </w:rPr>
            </w:pPr>
            <w:r w:rsidRPr="00DC4046">
              <w:rPr>
                <w:b/>
              </w:rPr>
              <w:t>Current Practice</w:t>
            </w:r>
          </w:p>
          <w:p w14:paraId="34AC4641" w14:textId="77777777" w:rsidR="00133D77" w:rsidRPr="00DC4046" w:rsidRDefault="00133D77" w:rsidP="00A22587">
            <w:pPr>
              <w:jc w:val="center"/>
              <w:rPr>
                <w:b/>
              </w:rPr>
            </w:pPr>
            <w:r w:rsidRPr="00DC4046">
              <w:rPr>
                <w:b/>
              </w:rPr>
              <w:t>Practitioners</w:t>
            </w:r>
          </w:p>
        </w:tc>
        <w:tc>
          <w:tcPr>
            <w:tcW w:w="3402" w:type="dxa"/>
          </w:tcPr>
          <w:p w14:paraId="50100141" w14:textId="77777777" w:rsidR="00133D77" w:rsidRPr="00DC4046" w:rsidRDefault="00133D77" w:rsidP="00A22587">
            <w:pPr>
              <w:jc w:val="center"/>
              <w:rPr>
                <w:b/>
              </w:rPr>
            </w:pPr>
            <w:r>
              <w:rPr>
                <w:b/>
              </w:rPr>
              <w:t>Areas to D</w:t>
            </w:r>
            <w:r w:rsidRPr="00DC4046">
              <w:rPr>
                <w:b/>
              </w:rPr>
              <w:t>evelop</w:t>
            </w:r>
          </w:p>
        </w:tc>
      </w:tr>
      <w:tr w:rsidR="00133D77" w14:paraId="5A8BC7EC" w14:textId="77777777" w:rsidTr="00133D77">
        <w:tc>
          <w:tcPr>
            <w:tcW w:w="499" w:type="dxa"/>
          </w:tcPr>
          <w:p w14:paraId="3C944F13" w14:textId="77777777" w:rsidR="00133D77" w:rsidRDefault="00133D77" w:rsidP="00A22587">
            <w:pPr>
              <w:jc w:val="center"/>
            </w:pPr>
          </w:p>
        </w:tc>
        <w:tc>
          <w:tcPr>
            <w:tcW w:w="3578" w:type="dxa"/>
          </w:tcPr>
          <w:p w14:paraId="20AA6B83" w14:textId="77777777" w:rsidR="00133D77" w:rsidRDefault="00133D77" w:rsidP="00A22587">
            <w:pPr>
              <w:jc w:val="center"/>
            </w:pPr>
          </w:p>
        </w:tc>
        <w:tc>
          <w:tcPr>
            <w:tcW w:w="3402" w:type="dxa"/>
            <w:gridSpan w:val="2"/>
          </w:tcPr>
          <w:p w14:paraId="44EB51BD" w14:textId="77777777" w:rsidR="00133D77" w:rsidRPr="00DC4046" w:rsidRDefault="00133D77" w:rsidP="00A22587">
            <w:pPr>
              <w:jc w:val="center"/>
              <w:rPr>
                <w:sz w:val="16"/>
                <w:szCs w:val="16"/>
              </w:rPr>
            </w:pPr>
          </w:p>
        </w:tc>
        <w:tc>
          <w:tcPr>
            <w:tcW w:w="3402" w:type="dxa"/>
          </w:tcPr>
          <w:p w14:paraId="12AB8EA3" w14:textId="77777777" w:rsidR="00133D77" w:rsidRDefault="00133D77" w:rsidP="00A22587">
            <w:pPr>
              <w:jc w:val="center"/>
            </w:pPr>
          </w:p>
        </w:tc>
      </w:tr>
      <w:tr w:rsidR="00133D77" w14:paraId="59E1840C" w14:textId="77777777" w:rsidTr="00133D77">
        <w:tc>
          <w:tcPr>
            <w:tcW w:w="499" w:type="dxa"/>
            <w:vMerge w:val="restart"/>
            <w:textDirection w:val="btLr"/>
          </w:tcPr>
          <w:p w14:paraId="3F81983A" w14:textId="618341F7" w:rsidR="00133D77" w:rsidRPr="00DC4046" w:rsidRDefault="00E8658C" w:rsidP="00133D77">
            <w:pPr>
              <w:ind w:left="113" w:right="113"/>
              <w:jc w:val="center"/>
              <w:rPr>
                <w:b/>
              </w:rPr>
            </w:pPr>
            <w:r>
              <w:rPr>
                <w:b/>
              </w:rPr>
              <w:t xml:space="preserve">High </w:t>
            </w:r>
            <w:r w:rsidR="00124C12">
              <w:rPr>
                <w:b/>
              </w:rPr>
              <w:t>Quality Early Years Provision</w:t>
            </w:r>
          </w:p>
        </w:tc>
        <w:tc>
          <w:tcPr>
            <w:tcW w:w="3578" w:type="dxa"/>
          </w:tcPr>
          <w:p w14:paraId="69B9CDB2" w14:textId="77777777" w:rsidR="00133D77" w:rsidRPr="00DC4046" w:rsidRDefault="00133D77" w:rsidP="00A22587">
            <w:pPr>
              <w:jc w:val="center"/>
              <w:rPr>
                <w:b/>
              </w:rPr>
            </w:pPr>
            <w:r w:rsidRPr="00DC4046">
              <w:rPr>
                <w:b/>
              </w:rPr>
              <w:t xml:space="preserve">What do we provide to support </w:t>
            </w:r>
            <w:r w:rsidR="00EF46FB">
              <w:rPr>
                <w:b/>
              </w:rPr>
              <w:t xml:space="preserve">communication and interaction </w:t>
            </w:r>
            <w:r>
              <w:rPr>
                <w:b/>
              </w:rPr>
              <w:t>d</w:t>
            </w:r>
            <w:r w:rsidRPr="00DC4046">
              <w:rPr>
                <w:b/>
              </w:rPr>
              <w:t xml:space="preserve">evelopment for all children? </w:t>
            </w:r>
          </w:p>
          <w:p w14:paraId="181523B2" w14:textId="7BCBEF08" w:rsidR="00133D77" w:rsidRDefault="00133D77" w:rsidP="00A22587">
            <w:pPr>
              <w:jc w:val="center"/>
              <w:rPr>
                <w:sz w:val="16"/>
                <w:szCs w:val="16"/>
              </w:rPr>
            </w:pPr>
          </w:p>
          <w:p w14:paraId="7E072B11" w14:textId="77777777" w:rsidR="00133D77" w:rsidRPr="00DC4046" w:rsidRDefault="00133D77" w:rsidP="00A22587">
            <w:pPr>
              <w:jc w:val="center"/>
              <w:rPr>
                <w:sz w:val="16"/>
                <w:szCs w:val="16"/>
              </w:rPr>
            </w:pPr>
          </w:p>
        </w:tc>
        <w:tc>
          <w:tcPr>
            <w:tcW w:w="3402" w:type="dxa"/>
          </w:tcPr>
          <w:p w14:paraId="740C2F59" w14:textId="40C6305D" w:rsidR="00133D77" w:rsidRPr="00E23579" w:rsidRDefault="00A91B0C" w:rsidP="00A91B0C">
            <w:pPr>
              <w:rPr>
                <w:rFonts w:ascii="Comic Sans MS" w:hAnsi="Comic Sans MS"/>
              </w:rPr>
            </w:pPr>
            <w:r w:rsidRPr="00E23579">
              <w:rPr>
                <w:rFonts w:ascii="Comic Sans MS" w:hAnsi="Comic Sans MS"/>
              </w:rPr>
              <w:t>The nursery environment is rich in print and practitioners support a rich language environment. The Aylesbury Room offers a quiet environment for children who require a quiet area to think. Communication friendly spaces are encouraged throughout the environment creating opportunities for communication.</w:t>
            </w:r>
          </w:p>
        </w:tc>
        <w:tc>
          <w:tcPr>
            <w:tcW w:w="3402" w:type="dxa"/>
          </w:tcPr>
          <w:p w14:paraId="5CB12CBB" w14:textId="77777777" w:rsidR="00133D77" w:rsidRDefault="00A91B0C" w:rsidP="00A91B0C">
            <w:pPr>
              <w:rPr>
                <w:rFonts w:ascii="Comic Sans MS" w:hAnsi="Comic Sans MS"/>
              </w:rPr>
            </w:pPr>
            <w:r w:rsidRPr="00E23579">
              <w:rPr>
                <w:rFonts w:ascii="Comic Sans MS" w:hAnsi="Comic Sans MS"/>
              </w:rPr>
              <w:t xml:space="preserve">The SENCo has been on a number of speech and language training courses and has cascaded the information gained to all practitioners through a staff meeting detailing how to support all children with their communication. </w:t>
            </w:r>
            <w:r w:rsidR="00E23579" w:rsidRPr="00E23579">
              <w:rPr>
                <w:rFonts w:ascii="Comic Sans MS" w:hAnsi="Comic Sans MS"/>
              </w:rPr>
              <w:t xml:space="preserve">The SENCo has also attended a Makaton training course and uses this to support children who require any support with communication. </w:t>
            </w:r>
            <w:r w:rsidRPr="00E23579">
              <w:rPr>
                <w:rFonts w:ascii="Comic Sans MS" w:hAnsi="Comic Sans MS"/>
              </w:rPr>
              <w:t>The practitioners use open ended questions and take part in sustained shared thinking to encourage conversation. Practitioners model language and re-cast children’</w:t>
            </w:r>
            <w:r w:rsidR="00901E00" w:rsidRPr="00E23579">
              <w:rPr>
                <w:rFonts w:ascii="Comic Sans MS" w:hAnsi="Comic Sans MS"/>
              </w:rPr>
              <w:t xml:space="preserve">s speech </w:t>
            </w:r>
            <w:r w:rsidRPr="00E23579">
              <w:rPr>
                <w:rFonts w:ascii="Comic Sans MS" w:hAnsi="Comic Sans MS"/>
              </w:rPr>
              <w:t>to extend the language used and/or to model correct speech pronunciation.</w:t>
            </w:r>
          </w:p>
          <w:p w14:paraId="1281530F" w14:textId="77777777" w:rsidR="00E8658C" w:rsidRPr="00E23579" w:rsidRDefault="00E8658C" w:rsidP="00A91B0C">
            <w:pPr>
              <w:rPr>
                <w:rFonts w:ascii="Comic Sans MS" w:hAnsi="Comic Sans MS"/>
              </w:rPr>
            </w:pPr>
          </w:p>
        </w:tc>
        <w:tc>
          <w:tcPr>
            <w:tcW w:w="3402" w:type="dxa"/>
          </w:tcPr>
          <w:p w14:paraId="45EAC056" w14:textId="77777777" w:rsidR="00E23579" w:rsidRPr="00E23579" w:rsidRDefault="00E23579" w:rsidP="00E23579">
            <w:pPr>
              <w:rPr>
                <w:rFonts w:ascii="Comic Sans MS" w:hAnsi="Comic Sans MS"/>
              </w:rPr>
            </w:pPr>
            <w:r w:rsidRPr="00E23579">
              <w:rPr>
                <w:rFonts w:ascii="Comic Sans MS" w:hAnsi="Comic Sans MS"/>
              </w:rPr>
              <w:t>Environment needs to be rich in print. Big, bold letters</w:t>
            </w:r>
          </w:p>
        </w:tc>
      </w:tr>
      <w:tr w:rsidR="00133D77" w14:paraId="7B3ABCF9" w14:textId="77777777" w:rsidTr="00133D77">
        <w:tc>
          <w:tcPr>
            <w:tcW w:w="499" w:type="dxa"/>
            <w:vMerge/>
          </w:tcPr>
          <w:p w14:paraId="3B93B446" w14:textId="77777777" w:rsidR="00133D77" w:rsidRDefault="00133D77" w:rsidP="00A22587">
            <w:pPr>
              <w:jc w:val="center"/>
              <w:rPr>
                <w:b/>
              </w:rPr>
            </w:pPr>
          </w:p>
        </w:tc>
        <w:tc>
          <w:tcPr>
            <w:tcW w:w="3578" w:type="dxa"/>
          </w:tcPr>
          <w:p w14:paraId="2C77BB32" w14:textId="77777777" w:rsidR="00133D77" w:rsidRPr="00DC4046" w:rsidRDefault="00133D77" w:rsidP="00A22587">
            <w:pPr>
              <w:jc w:val="center"/>
              <w:rPr>
                <w:b/>
              </w:rPr>
            </w:pPr>
            <w:r>
              <w:rPr>
                <w:b/>
              </w:rPr>
              <w:t xml:space="preserve">How do we identify children who are experiencing some delay </w:t>
            </w:r>
            <w:r w:rsidRPr="00DC4046">
              <w:rPr>
                <w:sz w:val="16"/>
                <w:szCs w:val="16"/>
              </w:rPr>
              <w:t>(catch up)</w:t>
            </w:r>
            <w:r>
              <w:rPr>
                <w:b/>
                <w:sz w:val="16"/>
                <w:szCs w:val="16"/>
              </w:rPr>
              <w:t xml:space="preserve"> </w:t>
            </w:r>
            <w:r>
              <w:rPr>
                <w:b/>
              </w:rPr>
              <w:t xml:space="preserve">or more significant delay or difficulty </w:t>
            </w:r>
            <w:r w:rsidRPr="00DC4046">
              <w:rPr>
                <w:sz w:val="16"/>
                <w:szCs w:val="16"/>
              </w:rPr>
              <w:t>(SEN)</w:t>
            </w:r>
            <w:r>
              <w:rPr>
                <w:b/>
                <w:sz w:val="16"/>
                <w:szCs w:val="16"/>
              </w:rPr>
              <w:t xml:space="preserve"> </w:t>
            </w:r>
            <w:r>
              <w:rPr>
                <w:b/>
              </w:rPr>
              <w:t>in this area?</w:t>
            </w:r>
          </w:p>
          <w:p w14:paraId="085537DF" w14:textId="77777777" w:rsidR="00133D77" w:rsidRPr="00DC4046" w:rsidRDefault="00133D77" w:rsidP="00DC4046">
            <w:pPr>
              <w:jc w:val="center"/>
              <w:rPr>
                <w:sz w:val="16"/>
                <w:szCs w:val="16"/>
              </w:rPr>
            </w:pPr>
          </w:p>
        </w:tc>
        <w:tc>
          <w:tcPr>
            <w:tcW w:w="3402" w:type="dxa"/>
          </w:tcPr>
          <w:p w14:paraId="484D1D29" w14:textId="77777777" w:rsidR="00133D77" w:rsidRPr="00E23579" w:rsidRDefault="00133D77" w:rsidP="00A22587">
            <w:pPr>
              <w:jc w:val="center"/>
              <w:rPr>
                <w:rFonts w:ascii="Comic Sans MS" w:hAnsi="Comic Sans MS"/>
              </w:rPr>
            </w:pPr>
          </w:p>
        </w:tc>
        <w:tc>
          <w:tcPr>
            <w:tcW w:w="3402" w:type="dxa"/>
          </w:tcPr>
          <w:p w14:paraId="51647BBF" w14:textId="25ED838E" w:rsidR="00133D77" w:rsidRPr="00E23579" w:rsidRDefault="00901E00" w:rsidP="00901E00">
            <w:pPr>
              <w:rPr>
                <w:rFonts w:ascii="Comic Sans MS" w:hAnsi="Comic Sans MS"/>
              </w:rPr>
            </w:pPr>
            <w:r w:rsidRPr="00E23579">
              <w:rPr>
                <w:rFonts w:ascii="Comic Sans MS" w:hAnsi="Comic Sans MS"/>
              </w:rPr>
              <w:t>Practitioners carry out regular observations on their key children to identify any language delay. Good knowledge of child development m</w:t>
            </w:r>
            <w:r w:rsidR="00F85829" w:rsidRPr="00E23579">
              <w:rPr>
                <w:rFonts w:ascii="Comic Sans MS" w:hAnsi="Comic Sans MS"/>
              </w:rPr>
              <w:t>akes this possible. The EYFS</w:t>
            </w:r>
            <w:r w:rsidR="003C50FF">
              <w:rPr>
                <w:rFonts w:ascii="Comic Sans MS" w:hAnsi="Comic Sans MS"/>
              </w:rPr>
              <w:t>/Birth to Five Matters</w:t>
            </w:r>
            <w:r w:rsidR="00F85829" w:rsidRPr="00E23579">
              <w:rPr>
                <w:rFonts w:ascii="Comic Sans MS" w:hAnsi="Comic Sans MS"/>
              </w:rPr>
              <w:t xml:space="preserve"> and both</w:t>
            </w:r>
            <w:r w:rsidRPr="00E23579">
              <w:rPr>
                <w:rFonts w:ascii="Comic Sans MS" w:hAnsi="Comic Sans MS"/>
              </w:rPr>
              <w:t xml:space="preserve"> ICAN</w:t>
            </w:r>
            <w:r w:rsidR="00F85829" w:rsidRPr="00E23579">
              <w:rPr>
                <w:rFonts w:ascii="Comic Sans MS" w:hAnsi="Comic Sans MS"/>
              </w:rPr>
              <w:t xml:space="preserve"> and Talk Boost</w:t>
            </w:r>
            <w:r w:rsidRPr="00E23579">
              <w:rPr>
                <w:rFonts w:ascii="Comic Sans MS" w:hAnsi="Comic Sans MS"/>
              </w:rPr>
              <w:t xml:space="preserve"> Project</w:t>
            </w:r>
            <w:r w:rsidR="00F85829" w:rsidRPr="00E23579">
              <w:rPr>
                <w:rFonts w:ascii="Comic Sans MS" w:hAnsi="Comic Sans MS"/>
              </w:rPr>
              <w:t>s</w:t>
            </w:r>
            <w:r w:rsidRPr="00E23579">
              <w:rPr>
                <w:rFonts w:ascii="Comic Sans MS" w:hAnsi="Comic Sans MS"/>
              </w:rPr>
              <w:t xml:space="preserve"> a</w:t>
            </w:r>
            <w:r w:rsidR="00F85829" w:rsidRPr="00E23579">
              <w:rPr>
                <w:rFonts w:ascii="Comic Sans MS" w:hAnsi="Comic Sans MS"/>
              </w:rPr>
              <w:t>re</w:t>
            </w:r>
            <w:r w:rsidRPr="00E23579">
              <w:rPr>
                <w:rFonts w:ascii="Comic Sans MS" w:hAnsi="Comic Sans MS"/>
              </w:rPr>
              <w:t xml:space="preserve"> used as a baseline for assessment.</w:t>
            </w:r>
          </w:p>
        </w:tc>
        <w:tc>
          <w:tcPr>
            <w:tcW w:w="3402" w:type="dxa"/>
          </w:tcPr>
          <w:p w14:paraId="16EC1DAA" w14:textId="77777777" w:rsidR="00133D77" w:rsidRPr="00E23579" w:rsidRDefault="00133D77" w:rsidP="00A22587">
            <w:pPr>
              <w:jc w:val="center"/>
              <w:rPr>
                <w:rFonts w:ascii="Comic Sans MS" w:hAnsi="Comic Sans MS"/>
              </w:rPr>
            </w:pPr>
          </w:p>
        </w:tc>
      </w:tr>
      <w:tr w:rsidR="00133D77" w14:paraId="06BF6122" w14:textId="77777777" w:rsidTr="00133D77">
        <w:trPr>
          <w:cantSplit/>
          <w:trHeight w:val="1134"/>
        </w:trPr>
        <w:tc>
          <w:tcPr>
            <w:tcW w:w="499" w:type="dxa"/>
            <w:textDirection w:val="btLr"/>
          </w:tcPr>
          <w:p w14:paraId="1770A1D5" w14:textId="300D092B" w:rsidR="00133D77" w:rsidRDefault="00E8658C" w:rsidP="00133D77">
            <w:pPr>
              <w:ind w:left="113" w:right="113"/>
              <w:jc w:val="center"/>
              <w:rPr>
                <w:b/>
              </w:rPr>
            </w:pPr>
            <w:r>
              <w:rPr>
                <w:b/>
              </w:rPr>
              <w:lastRenderedPageBreak/>
              <w:t>‘Catch Up’ Interventions</w:t>
            </w:r>
          </w:p>
        </w:tc>
        <w:tc>
          <w:tcPr>
            <w:tcW w:w="3578" w:type="dxa"/>
          </w:tcPr>
          <w:p w14:paraId="56FD2824" w14:textId="77777777" w:rsidR="00133D77" w:rsidRDefault="00133D77" w:rsidP="00DC4046">
            <w:pPr>
              <w:jc w:val="center"/>
              <w:rPr>
                <w:b/>
              </w:rPr>
            </w:pPr>
            <w:r>
              <w:rPr>
                <w:b/>
              </w:rPr>
              <w:t xml:space="preserve">What do we provide for children who need some support to </w:t>
            </w:r>
            <w:r w:rsidR="00901E00">
              <w:rPr>
                <w:b/>
              </w:rPr>
              <w:t>‘</w:t>
            </w:r>
            <w:r>
              <w:rPr>
                <w:b/>
              </w:rPr>
              <w:t>catch up</w:t>
            </w:r>
            <w:r w:rsidR="00901E00">
              <w:rPr>
                <w:b/>
              </w:rPr>
              <w:t>’</w:t>
            </w:r>
            <w:r>
              <w:rPr>
                <w:b/>
              </w:rPr>
              <w:t xml:space="preserve"> in relation to their </w:t>
            </w:r>
            <w:r w:rsidR="00EF46FB">
              <w:rPr>
                <w:b/>
              </w:rPr>
              <w:t>communication and/or interaction</w:t>
            </w:r>
            <w:r w:rsidR="00663127">
              <w:rPr>
                <w:b/>
              </w:rPr>
              <w:t xml:space="preserve"> </w:t>
            </w:r>
            <w:r>
              <w:rPr>
                <w:b/>
              </w:rPr>
              <w:t>development?</w:t>
            </w:r>
          </w:p>
          <w:p w14:paraId="34A0F0E5" w14:textId="77777777" w:rsidR="00133D77" w:rsidRPr="00DC4046" w:rsidRDefault="00133D77" w:rsidP="00124C12">
            <w:pPr>
              <w:jc w:val="center"/>
              <w:rPr>
                <w:b/>
                <w:sz w:val="16"/>
                <w:szCs w:val="16"/>
              </w:rPr>
            </w:pPr>
          </w:p>
        </w:tc>
        <w:tc>
          <w:tcPr>
            <w:tcW w:w="3402" w:type="dxa"/>
          </w:tcPr>
          <w:p w14:paraId="1D464022" w14:textId="77777777" w:rsidR="00133D77" w:rsidRPr="00E23579" w:rsidRDefault="00901E00" w:rsidP="00901E00">
            <w:pPr>
              <w:rPr>
                <w:rFonts w:ascii="Comic Sans MS" w:hAnsi="Comic Sans MS"/>
              </w:rPr>
            </w:pPr>
            <w:r w:rsidRPr="00E23579">
              <w:rPr>
                <w:rFonts w:ascii="Comic Sans MS" w:hAnsi="Comic Sans MS"/>
              </w:rPr>
              <w:t>Choice boards/books are offered in the areas of continuous provision to help children to express their choices. Visual clues are displayed, such as menu cards, to aid understanding. Signs and symbols are displayed throughout the environment.</w:t>
            </w:r>
          </w:p>
          <w:p w14:paraId="2B172202" w14:textId="77777777" w:rsidR="00133D77" w:rsidRPr="00E23579" w:rsidRDefault="00133D77" w:rsidP="00A22587">
            <w:pPr>
              <w:jc w:val="center"/>
              <w:rPr>
                <w:rFonts w:ascii="Comic Sans MS" w:hAnsi="Comic Sans MS"/>
              </w:rPr>
            </w:pPr>
          </w:p>
          <w:p w14:paraId="31806F69" w14:textId="77777777" w:rsidR="00133D77" w:rsidRPr="00E23579" w:rsidRDefault="00133D77" w:rsidP="00A22587">
            <w:pPr>
              <w:jc w:val="center"/>
              <w:rPr>
                <w:rFonts w:ascii="Comic Sans MS" w:hAnsi="Comic Sans MS"/>
              </w:rPr>
            </w:pPr>
          </w:p>
          <w:p w14:paraId="273EC9F7" w14:textId="77777777" w:rsidR="00133D77" w:rsidRPr="00E23579" w:rsidRDefault="00133D77" w:rsidP="00A22587">
            <w:pPr>
              <w:jc w:val="center"/>
              <w:rPr>
                <w:rFonts w:ascii="Comic Sans MS" w:hAnsi="Comic Sans MS"/>
              </w:rPr>
            </w:pPr>
          </w:p>
          <w:p w14:paraId="2ED6D2C3" w14:textId="77777777" w:rsidR="00133D77" w:rsidRPr="00E23579" w:rsidRDefault="00133D77" w:rsidP="00A22587">
            <w:pPr>
              <w:jc w:val="center"/>
              <w:rPr>
                <w:rFonts w:ascii="Comic Sans MS" w:hAnsi="Comic Sans MS"/>
              </w:rPr>
            </w:pPr>
          </w:p>
          <w:p w14:paraId="02604801" w14:textId="77777777" w:rsidR="00133D77" w:rsidRPr="00E23579" w:rsidRDefault="00133D77" w:rsidP="00A22587">
            <w:pPr>
              <w:jc w:val="center"/>
              <w:rPr>
                <w:rFonts w:ascii="Comic Sans MS" w:hAnsi="Comic Sans MS"/>
              </w:rPr>
            </w:pPr>
          </w:p>
          <w:p w14:paraId="42B6F494" w14:textId="77777777" w:rsidR="00133D77" w:rsidRPr="00E23579" w:rsidRDefault="00133D77" w:rsidP="00A22587">
            <w:pPr>
              <w:jc w:val="center"/>
              <w:rPr>
                <w:rFonts w:ascii="Comic Sans MS" w:hAnsi="Comic Sans MS"/>
              </w:rPr>
            </w:pPr>
          </w:p>
          <w:p w14:paraId="7FD19DAB" w14:textId="77777777" w:rsidR="00133D77" w:rsidRPr="00E23579" w:rsidRDefault="00133D77" w:rsidP="00A22587">
            <w:pPr>
              <w:jc w:val="center"/>
              <w:rPr>
                <w:rFonts w:ascii="Comic Sans MS" w:hAnsi="Comic Sans MS"/>
              </w:rPr>
            </w:pPr>
          </w:p>
        </w:tc>
        <w:tc>
          <w:tcPr>
            <w:tcW w:w="3402" w:type="dxa"/>
          </w:tcPr>
          <w:p w14:paraId="279A9A0A" w14:textId="13E54E36" w:rsidR="00133D77" w:rsidRPr="00E23579" w:rsidRDefault="00901E00" w:rsidP="00901E00">
            <w:pPr>
              <w:rPr>
                <w:rFonts w:ascii="Comic Sans MS" w:hAnsi="Comic Sans MS"/>
              </w:rPr>
            </w:pPr>
            <w:r w:rsidRPr="00E23579">
              <w:rPr>
                <w:rFonts w:ascii="Comic Sans MS" w:hAnsi="Comic Sans MS"/>
              </w:rPr>
              <w:t>Practitioners use the ICAN</w:t>
            </w:r>
            <w:r w:rsidR="003C50FF">
              <w:rPr>
                <w:rFonts w:ascii="Comic Sans MS" w:hAnsi="Comic Sans MS"/>
              </w:rPr>
              <w:t xml:space="preserve">, </w:t>
            </w:r>
            <w:proofErr w:type="spellStart"/>
            <w:r w:rsidR="003C50FF">
              <w:rPr>
                <w:rFonts w:ascii="Comic Sans MS" w:hAnsi="Comic Sans MS"/>
              </w:rPr>
              <w:t>Wellcom</w:t>
            </w:r>
            <w:proofErr w:type="spellEnd"/>
            <w:r w:rsidR="00F85829" w:rsidRPr="00E23579">
              <w:rPr>
                <w:rFonts w:ascii="Comic Sans MS" w:hAnsi="Comic Sans MS"/>
              </w:rPr>
              <w:t xml:space="preserve"> and Talk Boost</w:t>
            </w:r>
            <w:r w:rsidRPr="00E23579">
              <w:rPr>
                <w:rFonts w:ascii="Comic Sans MS" w:hAnsi="Comic Sans MS"/>
              </w:rPr>
              <w:t xml:space="preserve"> Project</w:t>
            </w:r>
            <w:r w:rsidR="00F85829" w:rsidRPr="00E23579">
              <w:rPr>
                <w:rFonts w:ascii="Comic Sans MS" w:hAnsi="Comic Sans MS"/>
              </w:rPr>
              <w:t>s</w:t>
            </w:r>
            <w:r w:rsidRPr="00E23579">
              <w:rPr>
                <w:rFonts w:ascii="Comic Sans MS" w:hAnsi="Comic Sans MS"/>
              </w:rPr>
              <w:t xml:space="preserve"> to support children with language delay. </w:t>
            </w:r>
            <w:r w:rsidR="00F85829" w:rsidRPr="00E23579">
              <w:rPr>
                <w:rFonts w:ascii="Comic Sans MS" w:hAnsi="Comic Sans MS"/>
              </w:rPr>
              <w:t>The practitioners</w:t>
            </w:r>
            <w:r w:rsidRPr="00E23579">
              <w:rPr>
                <w:rFonts w:ascii="Comic Sans MS" w:hAnsi="Comic Sans MS"/>
              </w:rPr>
              <w:t xml:space="preserve"> adapt their language to support children experiencing some delay in language development.  Targeted Learning Plans are devised to set specific targets and offer differentiated provision/resources to encourage communication and interactions. Practitioners offer choices with reduced options such as, an orange or an apple, to support children when expressing choices. Practitioners supporting the very young children use </w:t>
            </w:r>
            <w:r w:rsidR="00E23579" w:rsidRPr="00E23579">
              <w:rPr>
                <w:rFonts w:ascii="Comic Sans MS" w:hAnsi="Comic Sans MS"/>
              </w:rPr>
              <w:t xml:space="preserve">Makaton </w:t>
            </w:r>
            <w:r w:rsidRPr="00E23579">
              <w:rPr>
                <w:rFonts w:ascii="Comic Sans MS" w:hAnsi="Comic Sans MS"/>
              </w:rPr>
              <w:t>to aid communication</w:t>
            </w:r>
          </w:p>
          <w:p w14:paraId="71144147" w14:textId="77777777" w:rsidR="00901E00" w:rsidRPr="00E23579" w:rsidRDefault="00343DD2" w:rsidP="00901E00">
            <w:pPr>
              <w:rPr>
                <w:rFonts w:ascii="Comic Sans MS" w:hAnsi="Comic Sans MS"/>
              </w:rPr>
            </w:pPr>
            <w:r w:rsidRPr="00E23579">
              <w:rPr>
                <w:rFonts w:ascii="Comic Sans MS" w:hAnsi="Comic Sans MS"/>
              </w:rPr>
              <w:t>Referrals are made to and a</w:t>
            </w:r>
            <w:r w:rsidR="00901E00" w:rsidRPr="00E23579">
              <w:rPr>
                <w:rFonts w:ascii="Comic Sans MS" w:hAnsi="Comic Sans MS"/>
              </w:rPr>
              <w:t>dvice is sought from the Speech and Language Therapist and also the SEN Inclusion Teacher</w:t>
            </w:r>
          </w:p>
        </w:tc>
        <w:tc>
          <w:tcPr>
            <w:tcW w:w="3402" w:type="dxa"/>
          </w:tcPr>
          <w:p w14:paraId="31194438" w14:textId="5A7E3E43" w:rsidR="003C50FF" w:rsidRPr="00E23579" w:rsidRDefault="003C50FF" w:rsidP="003C50FF">
            <w:pPr>
              <w:rPr>
                <w:rFonts w:ascii="Comic Sans MS" w:hAnsi="Comic Sans MS"/>
              </w:rPr>
            </w:pPr>
          </w:p>
          <w:p w14:paraId="315AE2E6" w14:textId="23DCAE89" w:rsidR="00E23579" w:rsidRPr="00E23579" w:rsidRDefault="00E23579" w:rsidP="00E23579">
            <w:pPr>
              <w:rPr>
                <w:rFonts w:ascii="Comic Sans MS" w:hAnsi="Comic Sans MS"/>
              </w:rPr>
            </w:pPr>
          </w:p>
        </w:tc>
      </w:tr>
      <w:tr w:rsidR="00133D77" w14:paraId="300C8466" w14:textId="77777777" w:rsidTr="00133D77">
        <w:trPr>
          <w:cantSplit/>
          <w:trHeight w:val="1134"/>
        </w:trPr>
        <w:tc>
          <w:tcPr>
            <w:tcW w:w="499" w:type="dxa"/>
            <w:textDirection w:val="btLr"/>
          </w:tcPr>
          <w:p w14:paraId="76FE0514" w14:textId="68ACF446" w:rsidR="00133D77" w:rsidRDefault="00124C12" w:rsidP="00133D77">
            <w:pPr>
              <w:ind w:left="113" w:right="113"/>
              <w:jc w:val="center"/>
              <w:rPr>
                <w:b/>
              </w:rPr>
            </w:pPr>
            <w:r>
              <w:rPr>
                <w:b/>
              </w:rPr>
              <w:lastRenderedPageBreak/>
              <w:t>SEN Support</w:t>
            </w:r>
          </w:p>
        </w:tc>
        <w:tc>
          <w:tcPr>
            <w:tcW w:w="3578" w:type="dxa"/>
          </w:tcPr>
          <w:p w14:paraId="0A15C528" w14:textId="77777777" w:rsidR="00133D77" w:rsidRDefault="00133D77" w:rsidP="00A22587">
            <w:pPr>
              <w:jc w:val="center"/>
              <w:rPr>
                <w:b/>
              </w:rPr>
            </w:pPr>
            <w:r>
              <w:rPr>
                <w:b/>
              </w:rPr>
              <w:t xml:space="preserve">What do we provide to support children with more significant delay or difficulty in relation to their </w:t>
            </w:r>
            <w:r w:rsidR="00EF46FB">
              <w:rPr>
                <w:b/>
              </w:rPr>
              <w:t xml:space="preserve">communication and/or interaction </w:t>
            </w:r>
            <w:r>
              <w:rPr>
                <w:b/>
              </w:rPr>
              <w:t>development – what is 'additional to or different from' that already provided universally or in 'catch up' provision?</w:t>
            </w:r>
          </w:p>
          <w:p w14:paraId="003950CC" w14:textId="4E241D5C" w:rsidR="00133D77" w:rsidRPr="00DC4046" w:rsidRDefault="00133D77" w:rsidP="00A22587">
            <w:pPr>
              <w:jc w:val="center"/>
              <w:rPr>
                <w:sz w:val="16"/>
                <w:szCs w:val="16"/>
              </w:rPr>
            </w:pPr>
          </w:p>
        </w:tc>
        <w:tc>
          <w:tcPr>
            <w:tcW w:w="3402" w:type="dxa"/>
          </w:tcPr>
          <w:p w14:paraId="31DD5D9B" w14:textId="5EF622BD" w:rsidR="00133D77" w:rsidRPr="00E23579" w:rsidRDefault="002A181B" w:rsidP="002A181B">
            <w:pPr>
              <w:rPr>
                <w:rFonts w:ascii="Comic Sans MS" w:hAnsi="Comic Sans MS"/>
              </w:rPr>
            </w:pPr>
            <w:r w:rsidRPr="00E23579">
              <w:rPr>
                <w:rFonts w:ascii="Comic Sans MS" w:hAnsi="Comic Sans MS"/>
              </w:rPr>
              <w:t xml:space="preserve">Lots of pictures are displayed throughout the environment. Visual routines are made available. </w:t>
            </w:r>
          </w:p>
        </w:tc>
        <w:tc>
          <w:tcPr>
            <w:tcW w:w="3402" w:type="dxa"/>
          </w:tcPr>
          <w:p w14:paraId="145CBF55" w14:textId="77777777" w:rsidR="00133D77" w:rsidRPr="00E23579" w:rsidRDefault="00EE685A" w:rsidP="00EE685A">
            <w:pPr>
              <w:rPr>
                <w:rFonts w:ascii="Comic Sans MS" w:hAnsi="Comic Sans MS"/>
              </w:rPr>
            </w:pPr>
            <w:r w:rsidRPr="00E23579">
              <w:rPr>
                <w:rFonts w:ascii="Comic Sans MS" w:hAnsi="Comic Sans MS"/>
              </w:rPr>
              <w:t>Practitioners focus on developing areas/aspects of language</w:t>
            </w:r>
            <w:r w:rsidR="00343DD2" w:rsidRPr="00E23579">
              <w:rPr>
                <w:rFonts w:ascii="Comic Sans MS" w:hAnsi="Comic Sans MS"/>
              </w:rPr>
              <w:t xml:space="preserve"> through the implementation of a Targeted Learning Plan and advice/strategies given from the Speech and Language Therapist. All targets and strategies are cascaded to all practitioners through regular team meetings. Targeted Learning Plans are reviewed regularly to ensure progress is being made and current strategies are successful. New targets are then agreed by parents and other professionals involved.</w:t>
            </w:r>
          </w:p>
        </w:tc>
        <w:tc>
          <w:tcPr>
            <w:tcW w:w="3402" w:type="dxa"/>
          </w:tcPr>
          <w:p w14:paraId="4524CE56" w14:textId="77777777" w:rsidR="00133D77" w:rsidRDefault="00133D77" w:rsidP="00A22587">
            <w:pPr>
              <w:jc w:val="center"/>
            </w:pPr>
          </w:p>
        </w:tc>
      </w:tr>
    </w:tbl>
    <w:p w14:paraId="6B3FF7A5" w14:textId="77777777" w:rsidR="00A22587" w:rsidRDefault="00A22587" w:rsidP="00133D77"/>
    <w:sectPr w:rsidR="00A22587" w:rsidSect="00133D7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587"/>
    <w:rsid w:val="000F5631"/>
    <w:rsid w:val="00124C12"/>
    <w:rsid w:val="00133D77"/>
    <w:rsid w:val="001579A2"/>
    <w:rsid w:val="001C6E8D"/>
    <w:rsid w:val="00245E9F"/>
    <w:rsid w:val="002A181B"/>
    <w:rsid w:val="00343DD2"/>
    <w:rsid w:val="003C50FF"/>
    <w:rsid w:val="004A5CDD"/>
    <w:rsid w:val="00663127"/>
    <w:rsid w:val="006674B9"/>
    <w:rsid w:val="00681787"/>
    <w:rsid w:val="006A6F16"/>
    <w:rsid w:val="006C7974"/>
    <w:rsid w:val="0070381A"/>
    <w:rsid w:val="00782BB8"/>
    <w:rsid w:val="008637A4"/>
    <w:rsid w:val="00901E00"/>
    <w:rsid w:val="00977E5E"/>
    <w:rsid w:val="0098492F"/>
    <w:rsid w:val="00A22587"/>
    <w:rsid w:val="00A91B0C"/>
    <w:rsid w:val="00BC546D"/>
    <w:rsid w:val="00BD570C"/>
    <w:rsid w:val="00D50A8B"/>
    <w:rsid w:val="00DB3140"/>
    <w:rsid w:val="00DC4046"/>
    <w:rsid w:val="00DE5F78"/>
    <w:rsid w:val="00DE616C"/>
    <w:rsid w:val="00E23579"/>
    <w:rsid w:val="00E43599"/>
    <w:rsid w:val="00E67194"/>
    <w:rsid w:val="00E8658C"/>
    <w:rsid w:val="00EC6E5C"/>
    <w:rsid w:val="00EE685A"/>
    <w:rsid w:val="00EF46FB"/>
    <w:rsid w:val="00F33E5B"/>
    <w:rsid w:val="00F8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1B58"/>
  <w15:docId w15:val="{A9A0DC1E-8B86-478E-B0BC-D4B1B57E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521</Words>
  <Characters>3075</Characters>
  <Application>Microsoft Office Word</Application>
  <DocSecurity>0</DocSecurity>
  <Lines>205</Lines>
  <Paragraphs>27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hconnolly001</dc:creator>
  <cp:lastModifiedBy>Gillian Whitaker</cp:lastModifiedBy>
  <cp:revision>11</cp:revision>
  <cp:lastPrinted>2013-04-22T11:49:00Z</cp:lastPrinted>
  <dcterms:created xsi:type="dcterms:W3CDTF">2014-04-08T15:20:00Z</dcterms:created>
  <dcterms:modified xsi:type="dcterms:W3CDTF">2025-11-11T14:21:00Z</dcterms:modified>
</cp:coreProperties>
</file>