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0C957" w14:textId="77777777" w:rsidR="004A5CDD" w:rsidRDefault="00A22587" w:rsidP="00A22587">
      <w:pPr>
        <w:jc w:val="center"/>
        <w:rPr>
          <w:b/>
          <w:sz w:val="28"/>
          <w:szCs w:val="28"/>
        </w:rPr>
      </w:pPr>
      <w:r w:rsidRPr="00DC4046">
        <w:rPr>
          <w:b/>
          <w:sz w:val="28"/>
          <w:szCs w:val="28"/>
        </w:rPr>
        <w:t>Provision Mapping – Auditing/Self Evaluation Tool</w:t>
      </w:r>
    </w:p>
    <w:p w14:paraId="7188F51B" w14:textId="77777777" w:rsidR="00DC4046" w:rsidRPr="00DC4046" w:rsidRDefault="00DE5F78" w:rsidP="00DC4046">
      <w:pPr>
        <w:rPr>
          <w:b/>
          <w:sz w:val="28"/>
          <w:szCs w:val="28"/>
        </w:rPr>
      </w:pPr>
      <w:r>
        <w:rPr>
          <w:b/>
          <w:sz w:val="28"/>
          <w:szCs w:val="28"/>
        </w:rPr>
        <w:t xml:space="preserve">Social, Emotional &amp; </w:t>
      </w:r>
      <w:r w:rsidR="001A0FB5">
        <w:rPr>
          <w:b/>
          <w:sz w:val="28"/>
          <w:szCs w:val="28"/>
        </w:rPr>
        <w:t>Mental Health</w:t>
      </w:r>
      <w:r w:rsidR="00DC4046">
        <w:rPr>
          <w:b/>
          <w:sz w:val="28"/>
          <w:szCs w:val="28"/>
        </w:rPr>
        <w:t>:</w:t>
      </w:r>
    </w:p>
    <w:tbl>
      <w:tblPr>
        <w:tblStyle w:val="TableGrid"/>
        <w:tblW w:w="0" w:type="auto"/>
        <w:tblLook w:val="04A0" w:firstRow="1" w:lastRow="0" w:firstColumn="1" w:lastColumn="0" w:noHBand="0" w:noVBand="1"/>
      </w:tblPr>
      <w:tblGrid>
        <w:gridCol w:w="499"/>
        <w:gridCol w:w="3578"/>
        <w:gridCol w:w="3402"/>
        <w:gridCol w:w="3402"/>
        <w:gridCol w:w="3402"/>
      </w:tblGrid>
      <w:tr w:rsidR="00133D77" w14:paraId="41931F2B" w14:textId="77777777" w:rsidTr="00133D77">
        <w:tc>
          <w:tcPr>
            <w:tcW w:w="499" w:type="dxa"/>
          </w:tcPr>
          <w:p w14:paraId="2E2FF93B" w14:textId="77777777" w:rsidR="00133D77" w:rsidRDefault="00133D77" w:rsidP="00A22587">
            <w:pPr>
              <w:jc w:val="center"/>
            </w:pPr>
          </w:p>
        </w:tc>
        <w:tc>
          <w:tcPr>
            <w:tcW w:w="3578" w:type="dxa"/>
          </w:tcPr>
          <w:p w14:paraId="01791FFC" w14:textId="77777777" w:rsidR="00133D77" w:rsidRDefault="00133D77" w:rsidP="00A22587">
            <w:pPr>
              <w:jc w:val="center"/>
            </w:pPr>
          </w:p>
        </w:tc>
        <w:tc>
          <w:tcPr>
            <w:tcW w:w="3402" w:type="dxa"/>
          </w:tcPr>
          <w:p w14:paraId="1ECCA7F8" w14:textId="77777777" w:rsidR="00133D77" w:rsidRPr="00DC4046" w:rsidRDefault="00133D77" w:rsidP="00A22587">
            <w:pPr>
              <w:jc w:val="center"/>
              <w:rPr>
                <w:b/>
              </w:rPr>
            </w:pPr>
            <w:r w:rsidRPr="00DC4046">
              <w:rPr>
                <w:b/>
              </w:rPr>
              <w:t>Current Provision</w:t>
            </w:r>
          </w:p>
          <w:p w14:paraId="2C548906" w14:textId="77777777" w:rsidR="00133D77" w:rsidRPr="00DC4046" w:rsidRDefault="00133D77" w:rsidP="00A22587">
            <w:pPr>
              <w:jc w:val="center"/>
              <w:rPr>
                <w:b/>
              </w:rPr>
            </w:pPr>
            <w:r w:rsidRPr="00DC4046">
              <w:rPr>
                <w:b/>
              </w:rPr>
              <w:t>Environment &amp; Resources</w:t>
            </w:r>
          </w:p>
        </w:tc>
        <w:tc>
          <w:tcPr>
            <w:tcW w:w="3402" w:type="dxa"/>
          </w:tcPr>
          <w:p w14:paraId="42196570" w14:textId="77777777" w:rsidR="00133D77" w:rsidRPr="00DC4046" w:rsidRDefault="00133D77" w:rsidP="00A22587">
            <w:pPr>
              <w:jc w:val="center"/>
              <w:rPr>
                <w:b/>
              </w:rPr>
            </w:pPr>
            <w:r w:rsidRPr="00DC4046">
              <w:rPr>
                <w:b/>
              </w:rPr>
              <w:t>Current Practice</w:t>
            </w:r>
          </w:p>
          <w:p w14:paraId="635548FF" w14:textId="77777777" w:rsidR="00133D77" w:rsidRPr="00DC4046" w:rsidRDefault="00133D77" w:rsidP="00A22587">
            <w:pPr>
              <w:jc w:val="center"/>
              <w:rPr>
                <w:b/>
              </w:rPr>
            </w:pPr>
            <w:r w:rsidRPr="00DC4046">
              <w:rPr>
                <w:b/>
              </w:rPr>
              <w:t>Practitioners</w:t>
            </w:r>
          </w:p>
        </w:tc>
        <w:tc>
          <w:tcPr>
            <w:tcW w:w="3402" w:type="dxa"/>
          </w:tcPr>
          <w:p w14:paraId="59DE55EC" w14:textId="77777777" w:rsidR="00133D77" w:rsidRPr="00DC4046" w:rsidRDefault="00133D77" w:rsidP="00A22587">
            <w:pPr>
              <w:jc w:val="center"/>
              <w:rPr>
                <w:b/>
              </w:rPr>
            </w:pPr>
            <w:r>
              <w:rPr>
                <w:b/>
              </w:rPr>
              <w:t>Areas to D</w:t>
            </w:r>
            <w:r w:rsidRPr="00DC4046">
              <w:rPr>
                <w:b/>
              </w:rPr>
              <w:t>evelop</w:t>
            </w:r>
          </w:p>
        </w:tc>
      </w:tr>
      <w:tr w:rsidR="00133D77" w14:paraId="02A6A8DE" w14:textId="77777777" w:rsidTr="00133D77">
        <w:tc>
          <w:tcPr>
            <w:tcW w:w="499" w:type="dxa"/>
          </w:tcPr>
          <w:p w14:paraId="441F85B2" w14:textId="77777777" w:rsidR="00133D77" w:rsidRDefault="00133D77" w:rsidP="00A22587">
            <w:pPr>
              <w:jc w:val="center"/>
            </w:pPr>
          </w:p>
        </w:tc>
        <w:tc>
          <w:tcPr>
            <w:tcW w:w="3578" w:type="dxa"/>
          </w:tcPr>
          <w:p w14:paraId="0858C5AD" w14:textId="77777777" w:rsidR="00133D77" w:rsidRDefault="00133D77" w:rsidP="00A22587">
            <w:pPr>
              <w:jc w:val="center"/>
            </w:pPr>
          </w:p>
        </w:tc>
        <w:tc>
          <w:tcPr>
            <w:tcW w:w="3402" w:type="dxa"/>
            <w:gridSpan w:val="2"/>
          </w:tcPr>
          <w:p w14:paraId="50A42050" w14:textId="77777777" w:rsidR="00133D77" w:rsidRPr="00DC4046" w:rsidRDefault="00133D77" w:rsidP="00A22587">
            <w:pPr>
              <w:jc w:val="center"/>
              <w:rPr>
                <w:sz w:val="16"/>
                <w:szCs w:val="16"/>
              </w:rPr>
            </w:pPr>
          </w:p>
        </w:tc>
        <w:tc>
          <w:tcPr>
            <w:tcW w:w="3402" w:type="dxa"/>
          </w:tcPr>
          <w:p w14:paraId="43788C2E" w14:textId="77777777" w:rsidR="00133D77" w:rsidRDefault="00133D77" w:rsidP="00A22587">
            <w:pPr>
              <w:jc w:val="center"/>
            </w:pPr>
          </w:p>
        </w:tc>
      </w:tr>
      <w:tr w:rsidR="00133D77" w14:paraId="414CB24A" w14:textId="77777777" w:rsidTr="00133D77">
        <w:tc>
          <w:tcPr>
            <w:tcW w:w="499" w:type="dxa"/>
            <w:vMerge w:val="restart"/>
            <w:textDirection w:val="btLr"/>
          </w:tcPr>
          <w:p w14:paraId="4EA8EC31" w14:textId="2F37D1FA" w:rsidR="00133D77" w:rsidRPr="00DC4046" w:rsidRDefault="0007511B" w:rsidP="00133D77">
            <w:pPr>
              <w:ind w:left="113" w:right="113"/>
              <w:jc w:val="center"/>
              <w:rPr>
                <w:b/>
              </w:rPr>
            </w:pPr>
            <w:r>
              <w:rPr>
                <w:b/>
              </w:rPr>
              <w:t xml:space="preserve">High </w:t>
            </w:r>
            <w:r w:rsidR="00E92B4A">
              <w:rPr>
                <w:b/>
              </w:rPr>
              <w:t>Quality Early Years Provision</w:t>
            </w:r>
          </w:p>
        </w:tc>
        <w:tc>
          <w:tcPr>
            <w:tcW w:w="3578" w:type="dxa"/>
          </w:tcPr>
          <w:p w14:paraId="4179FFB3" w14:textId="77777777" w:rsidR="00133D77" w:rsidRPr="00DC4046" w:rsidRDefault="00133D77" w:rsidP="00A22587">
            <w:pPr>
              <w:jc w:val="center"/>
              <w:rPr>
                <w:b/>
              </w:rPr>
            </w:pPr>
            <w:r w:rsidRPr="00DC4046">
              <w:rPr>
                <w:b/>
              </w:rPr>
              <w:t xml:space="preserve">What do we provide to support </w:t>
            </w:r>
            <w:r w:rsidR="00DE5F78">
              <w:rPr>
                <w:b/>
              </w:rPr>
              <w:t>social, emotional and behavioural</w:t>
            </w:r>
            <w:r w:rsidRPr="00DC4046">
              <w:rPr>
                <w:b/>
              </w:rPr>
              <w:t xml:space="preserve"> </w:t>
            </w:r>
            <w:r>
              <w:rPr>
                <w:b/>
              </w:rPr>
              <w:t>d</w:t>
            </w:r>
            <w:r w:rsidRPr="00DC4046">
              <w:rPr>
                <w:b/>
              </w:rPr>
              <w:t xml:space="preserve">evelopment for all children? </w:t>
            </w:r>
          </w:p>
          <w:p w14:paraId="181A5E97" w14:textId="77777777" w:rsidR="00133D77" w:rsidRPr="00DC4046" w:rsidRDefault="00133D77" w:rsidP="00E92B4A">
            <w:pPr>
              <w:jc w:val="center"/>
              <w:rPr>
                <w:sz w:val="16"/>
                <w:szCs w:val="16"/>
              </w:rPr>
            </w:pPr>
          </w:p>
        </w:tc>
        <w:tc>
          <w:tcPr>
            <w:tcW w:w="3402" w:type="dxa"/>
          </w:tcPr>
          <w:p w14:paraId="63430975" w14:textId="77777777" w:rsidR="00133D77" w:rsidRDefault="0078736C" w:rsidP="0048638A">
            <w:pPr>
              <w:rPr>
                <w:rFonts w:ascii="Comic Sans MS" w:hAnsi="Comic Sans MS"/>
              </w:rPr>
            </w:pPr>
            <w:r w:rsidRPr="0048638A">
              <w:rPr>
                <w:rFonts w:ascii="Comic Sans MS" w:hAnsi="Comic Sans MS"/>
              </w:rPr>
              <w:t xml:space="preserve">Independence is ensured </w:t>
            </w:r>
            <w:r w:rsidR="00746FA4" w:rsidRPr="0048638A">
              <w:rPr>
                <w:rFonts w:ascii="Comic Sans MS" w:hAnsi="Comic Sans MS"/>
              </w:rPr>
              <w:t>throughout;</w:t>
            </w:r>
            <w:r w:rsidRPr="0048638A">
              <w:rPr>
                <w:rFonts w:ascii="Comic Sans MS" w:hAnsi="Comic Sans MS"/>
              </w:rPr>
              <w:t xml:space="preserve"> children are encouraged to pour their own cereal and butter their own toast at breakfast time etc. Fresh fruit and fresh drinking water is available for children if they feel hungry/thirsty. </w:t>
            </w:r>
            <w:r w:rsidR="006862F9" w:rsidRPr="0048638A">
              <w:rPr>
                <w:rFonts w:ascii="Comic Sans MS" w:hAnsi="Comic Sans MS"/>
              </w:rPr>
              <w:t>A domestic role play area allows children to act out their feelings. Effective behaviour policy is in place for all practitioners to follow. Behaviour management officer on site to offer advice and guidance</w:t>
            </w:r>
          </w:p>
          <w:p w14:paraId="11D9FF65" w14:textId="77777777" w:rsidR="00746FA4" w:rsidRDefault="00746FA4" w:rsidP="0048638A">
            <w:pPr>
              <w:rPr>
                <w:rFonts w:ascii="Comic Sans MS" w:hAnsi="Comic Sans MS"/>
              </w:rPr>
            </w:pPr>
            <w:r>
              <w:rPr>
                <w:rFonts w:ascii="Comic Sans MS" w:hAnsi="Comic Sans MS"/>
              </w:rPr>
              <w:t>A decompression area has been devised to assist children with self-regulation and managing their emotions.</w:t>
            </w:r>
          </w:p>
          <w:p w14:paraId="46AB7D1B" w14:textId="1271545C" w:rsidR="00746FA4" w:rsidRPr="0048638A" w:rsidRDefault="00746FA4" w:rsidP="0048638A">
            <w:pPr>
              <w:rPr>
                <w:rFonts w:ascii="Comic Sans MS" w:hAnsi="Comic Sans MS"/>
              </w:rPr>
            </w:pPr>
          </w:p>
        </w:tc>
        <w:tc>
          <w:tcPr>
            <w:tcW w:w="3402" w:type="dxa"/>
          </w:tcPr>
          <w:p w14:paraId="339CF015" w14:textId="77777777" w:rsidR="00133D77" w:rsidRDefault="0078736C" w:rsidP="0048638A">
            <w:pPr>
              <w:rPr>
                <w:rFonts w:ascii="Comic Sans MS" w:hAnsi="Comic Sans MS"/>
              </w:rPr>
            </w:pPr>
            <w:r w:rsidRPr="0048638A">
              <w:rPr>
                <w:rFonts w:ascii="Comic Sans MS" w:hAnsi="Comic Sans MS"/>
              </w:rPr>
              <w:t>Good key person relationships ensure practitioners promote a welcoming environment where all children are included. All children are welcomed by their key person, as much as possible, in a morning upon arrival at nursery. Settling in sessions and transition visits ensure children feel confident and secure within the nursery environment before they start at the setting. Practitioners work closely with all children to empower them and build their self-esteem. Practitioners use positive praise and never empty praise, always explaining to the child specific</w:t>
            </w:r>
            <w:r w:rsidR="0048638A" w:rsidRPr="0048638A">
              <w:rPr>
                <w:rFonts w:ascii="Comic Sans MS" w:hAnsi="Comic Sans MS"/>
              </w:rPr>
              <w:t>ally what they are pleased with</w:t>
            </w:r>
            <w:r w:rsidRPr="0048638A">
              <w:rPr>
                <w:rFonts w:ascii="Comic Sans MS" w:hAnsi="Comic Sans MS"/>
              </w:rPr>
              <w:t>. A feelings song is s</w:t>
            </w:r>
            <w:r w:rsidR="00472305">
              <w:rPr>
                <w:rFonts w:ascii="Comic Sans MS" w:hAnsi="Comic Sans MS"/>
              </w:rPr>
              <w:t>u</w:t>
            </w:r>
            <w:r w:rsidRPr="0048638A">
              <w:rPr>
                <w:rFonts w:ascii="Comic Sans MS" w:hAnsi="Comic Sans MS"/>
              </w:rPr>
              <w:t xml:space="preserve">ng at group time to encourage children to express </w:t>
            </w:r>
            <w:r w:rsidRPr="0048638A">
              <w:rPr>
                <w:rFonts w:ascii="Comic Sans MS" w:hAnsi="Comic Sans MS"/>
              </w:rPr>
              <w:lastRenderedPageBreak/>
              <w:t>how they are feeling. The older children have use of feeling cards to develop empathy. Through the key person approach communication between parents is effectively achieved. All practitioners set clear boundaries within the setting</w:t>
            </w:r>
            <w:r w:rsidR="006862F9" w:rsidRPr="0048638A">
              <w:rPr>
                <w:rFonts w:ascii="Comic Sans MS" w:hAnsi="Comic Sans MS"/>
              </w:rPr>
              <w:t>. The SENCo has attended a training course in PSED and cascaded information to practitioners</w:t>
            </w:r>
          </w:p>
          <w:p w14:paraId="3BEB4A22" w14:textId="26B32342" w:rsidR="00746FA4" w:rsidRPr="0048638A" w:rsidRDefault="00746FA4" w:rsidP="0048638A">
            <w:pPr>
              <w:rPr>
                <w:rFonts w:ascii="Comic Sans MS" w:hAnsi="Comic Sans MS"/>
              </w:rPr>
            </w:pPr>
            <w:r>
              <w:rPr>
                <w:rFonts w:ascii="Comic Sans MS" w:hAnsi="Comic Sans MS"/>
              </w:rPr>
              <w:t>Practitioners have received inhouse training regarding self-regulation and behaviour management.</w:t>
            </w:r>
          </w:p>
        </w:tc>
        <w:tc>
          <w:tcPr>
            <w:tcW w:w="3402" w:type="dxa"/>
          </w:tcPr>
          <w:p w14:paraId="126E2745" w14:textId="77777777" w:rsidR="0048638A" w:rsidRPr="0048638A" w:rsidRDefault="0048638A" w:rsidP="006862F9">
            <w:pPr>
              <w:rPr>
                <w:rFonts w:ascii="Comic Sans MS" w:hAnsi="Comic Sans MS"/>
              </w:rPr>
            </w:pPr>
          </w:p>
          <w:p w14:paraId="26E52F1A" w14:textId="16A1226D" w:rsidR="0048638A" w:rsidRPr="0048638A" w:rsidRDefault="0048638A" w:rsidP="006862F9">
            <w:pPr>
              <w:rPr>
                <w:rFonts w:ascii="Comic Sans MS" w:hAnsi="Comic Sans MS"/>
              </w:rPr>
            </w:pPr>
          </w:p>
        </w:tc>
      </w:tr>
      <w:tr w:rsidR="00133D77" w14:paraId="0C7C8662" w14:textId="77777777" w:rsidTr="00133D77">
        <w:tc>
          <w:tcPr>
            <w:tcW w:w="499" w:type="dxa"/>
            <w:vMerge/>
          </w:tcPr>
          <w:p w14:paraId="3660A36A" w14:textId="77777777" w:rsidR="00133D77" w:rsidRDefault="00133D77" w:rsidP="00A22587">
            <w:pPr>
              <w:jc w:val="center"/>
              <w:rPr>
                <w:b/>
              </w:rPr>
            </w:pPr>
          </w:p>
        </w:tc>
        <w:tc>
          <w:tcPr>
            <w:tcW w:w="3578" w:type="dxa"/>
          </w:tcPr>
          <w:p w14:paraId="3469EDE1" w14:textId="77777777" w:rsidR="00133D77" w:rsidRPr="00DC4046" w:rsidRDefault="00133D77" w:rsidP="00A22587">
            <w:pPr>
              <w:jc w:val="center"/>
              <w:rPr>
                <w:b/>
              </w:rPr>
            </w:pPr>
            <w:r>
              <w:rPr>
                <w:b/>
              </w:rPr>
              <w:t xml:space="preserve">How do we identify children who are experiencing some delay </w:t>
            </w:r>
            <w:r w:rsidRPr="00DC4046">
              <w:rPr>
                <w:sz w:val="16"/>
                <w:szCs w:val="16"/>
              </w:rPr>
              <w:t>(catch up)</w:t>
            </w:r>
            <w:r>
              <w:rPr>
                <w:b/>
                <w:sz w:val="16"/>
                <w:szCs w:val="16"/>
              </w:rPr>
              <w:t xml:space="preserve"> </w:t>
            </w:r>
            <w:r>
              <w:rPr>
                <w:b/>
              </w:rPr>
              <w:t xml:space="preserve">or more significant delay or difficulty </w:t>
            </w:r>
            <w:r w:rsidRPr="00DC4046">
              <w:rPr>
                <w:sz w:val="16"/>
                <w:szCs w:val="16"/>
              </w:rPr>
              <w:t>(SEN)</w:t>
            </w:r>
            <w:r>
              <w:rPr>
                <w:b/>
                <w:sz w:val="16"/>
                <w:szCs w:val="16"/>
              </w:rPr>
              <w:t xml:space="preserve"> </w:t>
            </w:r>
            <w:r>
              <w:rPr>
                <w:b/>
              </w:rPr>
              <w:t>in this area?</w:t>
            </w:r>
          </w:p>
          <w:p w14:paraId="5ED79871" w14:textId="77777777" w:rsidR="00133D77" w:rsidRPr="00DC4046" w:rsidRDefault="00133D77" w:rsidP="00DC4046">
            <w:pPr>
              <w:jc w:val="center"/>
              <w:rPr>
                <w:sz w:val="16"/>
                <w:szCs w:val="16"/>
              </w:rPr>
            </w:pPr>
          </w:p>
        </w:tc>
        <w:tc>
          <w:tcPr>
            <w:tcW w:w="3402" w:type="dxa"/>
          </w:tcPr>
          <w:p w14:paraId="100020BD" w14:textId="77777777" w:rsidR="00133D77" w:rsidRDefault="00133D77" w:rsidP="00A22587">
            <w:pPr>
              <w:jc w:val="center"/>
            </w:pPr>
          </w:p>
        </w:tc>
        <w:tc>
          <w:tcPr>
            <w:tcW w:w="3402" w:type="dxa"/>
          </w:tcPr>
          <w:p w14:paraId="6FF4A589" w14:textId="1ED87CDA" w:rsidR="00133D77" w:rsidRDefault="006862F9" w:rsidP="006862F9">
            <w:r w:rsidRPr="0048638A">
              <w:rPr>
                <w:rFonts w:ascii="Comic Sans MS" w:hAnsi="Comic Sans MS"/>
              </w:rPr>
              <w:t>On-going observations and good knowledge of the EYFS</w:t>
            </w:r>
            <w:r w:rsidR="00746FA4">
              <w:rPr>
                <w:rFonts w:ascii="Comic Sans MS" w:hAnsi="Comic Sans MS"/>
              </w:rPr>
              <w:t>/Birth to Five Matters</w:t>
            </w:r>
            <w:r w:rsidRPr="0048638A">
              <w:rPr>
                <w:rFonts w:ascii="Comic Sans MS" w:hAnsi="Comic Sans MS"/>
              </w:rPr>
              <w:t xml:space="preserve"> allows practitioners the opportunities to identify children who are experiencing delay within this area</w:t>
            </w:r>
            <w:r>
              <w:t>.</w:t>
            </w:r>
          </w:p>
        </w:tc>
        <w:tc>
          <w:tcPr>
            <w:tcW w:w="3402" w:type="dxa"/>
          </w:tcPr>
          <w:p w14:paraId="177F5F6D" w14:textId="77777777" w:rsidR="00133D77" w:rsidRDefault="00133D77" w:rsidP="00A22587">
            <w:pPr>
              <w:jc w:val="center"/>
            </w:pPr>
          </w:p>
        </w:tc>
      </w:tr>
      <w:tr w:rsidR="00133D77" w14:paraId="5B3C61AE" w14:textId="77777777" w:rsidTr="00133D77">
        <w:trPr>
          <w:cantSplit/>
          <w:trHeight w:val="1134"/>
        </w:trPr>
        <w:tc>
          <w:tcPr>
            <w:tcW w:w="499" w:type="dxa"/>
            <w:textDirection w:val="btLr"/>
          </w:tcPr>
          <w:p w14:paraId="203C1068" w14:textId="454D04E6" w:rsidR="00133D77" w:rsidRDefault="0007511B" w:rsidP="0007511B">
            <w:pPr>
              <w:ind w:left="113" w:right="113"/>
              <w:rPr>
                <w:b/>
              </w:rPr>
            </w:pPr>
            <w:r>
              <w:rPr>
                <w:b/>
              </w:rPr>
              <w:lastRenderedPageBreak/>
              <w:t xml:space="preserve">                                                                     ‘Catch Up’ Interventions</w:t>
            </w:r>
          </w:p>
        </w:tc>
        <w:tc>
          <w:tcPr>
            <w:tcW w:w="3578" w:type="dxa"/>
          </w:tcPr>
          <w:p w14:paraId="3B4E1F1A" w14:textId="77777777" w:rsidR="00133D77" w:rsidRDefault="00133D77" w:rsidP="00DC4046">
            <w:pPr>
              <w:jc w:val="center"/>
              <w:rPr>
                <w:b/>
              </w:rPr>
            </w:pPr>
            <w:r>
              <w:rPr>
                <w:b/>
              </w:rPr>
              <w:t xml:space="preserve">What do we provide for children who need some support to </w:t>
            </w:r>
            <w:r w:rsidR="006862F9">
              <w:rPr>
                <w:b/>
              </w:rPr>
              <w:t>‘</w:t>
            </w:r>
            <w:r>
              <w:rPr>
                <w:b/>
              </w:rPr>
              <w:t>catch up</w:t>
            </w:r>
            <w:r w:rsidR="006862F9">
              <w:rPr>
                <w:b/>
              </w:rPr>
              <w:t>’</w:t>
            </w:r>
            <w:r>
              <w:rPr>
                <w:b/>
              </w:rPr>
              <w:t xml:space="preserve"> in relation to their </w:t>
            </w:r>
            <w:r w:rsidR="00DE5F78">
              <w:rPr>
                <w:b/>
              </w:rPr>
              <w:t>social, emotional and behavioural</w:t>
            </w:r>
            <w:r>
              <w:rPr>
                <w:b/>
              </w:rPr>
              <w:t xml:space="preserve"> development?</w:t>
            </w:r>
          </w:p>
          <w:p w14:paraId="4A7E5F2A" w14:textId="77777777" w:rsidR="00133D77" w:rsidRPr="00DC4046" w:rsidRDefault="00133D77" w:rsidP="00E92B4A">
            <w:pPr>
              <w:jc w:val="center"/>
              <w:rPr>
                <w:b/>
                <w:sz w:val="16"/>
                <w:szCs w:val="16"/>
              </w:rPr>
            </w:pPr>
          </w:p>
        </w:tc>
        <w:tc>
          <w:tcPr>
            <w:tcW w:w="3402" w:type="dxa"/>
          </w:tcPr>
          <w:p w14:paraId="6D15B9B4" w14:textId="77777777" w:rsidR="00133D77" w:rsidRPr="0048638A" w:rsidRDefault="0048638A" w:rsidP="00EE05FD">
            <w:pPr>
              <w:rPr>
                <w:rFonts w:ascii="Comic Sans MS" w:hAnsi="Comic Sans MS"/>
              </w:rPr>
            </w:pPr>
            <w:r w:rsidRPr="0048638A">
              <w:rPr>
                <w:rFonts w:ascii="Comic Sans MS" w:hAnsi="Comic Sans MS"/>
              </w:rPr>
              <w:t>We will make reasonable adjustments and purchase</w:t>
            </w:r>
            <w:r w:rsidR="00EE05FD" w:rsidRPr="0048638A">
              <w:rPr>
                <w:rFonts w:ascii="Comic Sans MS" w:hAnsi="Comic Sans MS"/>
              </w:rPr>
              <w:t xml:space="preserve"> additional resources </w:t>
            </w:r>
            <w:r w:rsidRPr="0048638A">
              <w:rPr>
                <w:rFonts w:ascii="Comic Sans MS" w:hAnsi="Comic Sans MS"/>
              </w:rPr>
              <w:t xml:space="preserve">that are needed </w:t>
            </w:r>
            <w:r w:rsidR="00EE05FD" w:rsidRPr="0048638A">
              <w:rPr>
                <w:rFonts w:ascii="Comic Sans MS" w:hAnsi="Comic Sans MS"/>
              </w:rPr>
              <w:t>to support child in relation to social and emotional development.</w:t>
            </w:r>
          </w:p>
          <w:p w14:paraId="75821A5C" w14:textId="77777777" w:rsidR="00EE05FD" w:rsidRPr="0048638A" w:rsidRDefault="00EE05FD" w:rsidP="00EE05FD">
            <w:pPr>
              <w:rPr>
                <w:rFonts w:ascii="Comic Sans MS" w:hAnsi="Comic Sans MS"/>
              </w:rPr>
            </w:pPr>
            <w:r w:rsidRPr="0048638A">
              <w:rPr>
                <w:rFonts w:ascii="Comic Sans MS" w:hAnsi="Comic Sans MS"/>
              </w:rPr>
              <w:t>Targeted Learning Plans highlight any additional resources required to support child. Environment is adapted/enhanced to meet needs of child.</w:t>
            </w:r>
          </w:p>
          <w:p w14:paraId="1B3A31E3" w14:textId="77777777" w:rsidR="00133D77" w:rsidRPr="0048638A" w:rsidRDefault="00133D77" w:rsidP="00A22587">
            <w:pPr>
              <w:jc w:val="center"/>
              <w:rPr>
                <w:rFonts w:ascii="Comic Sans MS" w:hAnsi="Comic Sans MS"/>
              </w:rPr>
            </w:pPr>
          </w:p>
          <w:p w14:paraId="22988BB0" w14:textId="77777777" w:rsidR="00133D77" w:rsidRPr="0048638A" w:rsidRDefault="00133D77" w:rsidP="00A22587">
            <w:pPr>
              <w:jc w:val="center"/>
              <w:rPr>
                <w:rFonts w:ascii="Comic Sans MS" w:hAnsi="Comic Sans MS"/>
              </w:rPr>
            </w:pPr>
          </w:p>
          <w:p w14:paraId="51339795" w14:textId="77777777" w:rsidR="00133D77" w:rsidRPr="0048638A" w:rsidRDefault="00133D77" w:rsidP="00A22587">
            <w:pPr>
              <w:jc w:val="center"/>
              <w:rPr>
                <w:rFonts w:ascii="Comic Sans MS" w:hAnsi="Comic Sans MS"/>
              </w:rPr>
            </w:pPr>
          </w:p>
          <w:p w14:paraId="434B1542" w14:textId="77777777" w:rsidR="00133D77" w:rsidRPr="0048638A" w:rsidRDefault="00133D77" w:rsidP="00A22587">
            <w:pPr>
              <w:jc w:val="center"/>
              <w:rPr>
                <w:rFonts w:ascii="Comic Sans MS" w:hAnsi="Comic Sans MS"/>
              </w:rPr>
            </w:pPr>
          </w:p>
          <w:p w14:paraId="327B4E8F" w14:textId="77777777" w:rsidR="00133D77" w:rsidRPr="0048638A" w:rsidRDefault="00133D77" w:rsidP="00A22587">
            <w:pPr>
              <w:jc w:val="center"/>
              <w:rPr>
                <w:rFonts w:ascii="Comic Sans MS" w:hAnsi="Comic Sans MS"/>
              </w:rPr>
            </w:pPr>
          </w:p>
        </w:tc>
        <w:tc>
          <w:tcPr>
            <w:tcW w:w="3402" w:type="dxa"/>
          </w:tcPr>
          <w:p w14:paraId="3F8185A9" w14:textId="1DA44F1A" w:rsidR="00133D77" w:rsidRPr="0048638A" w:rsidRDefault="006862F9" w:rsidP="006862F9">
            <w:pPr>
              <w:rPr>
                <w:rFonts w:ascii="Comic Sans MS" w:hAnsi="Comic Sans MS"/>
              </w:rPr>
            </w:pPr>
            <w:r w:rsidRPr="0048638A">
              <w:rPr>
                <w:rFonts w:ascii="Comic Sans MS" w:hAnsi="Comic Sans MS"/>
              </w:rPr>
              <w:t xml:space="preserve">Practitioners use their skills and knowledge to role model play skills. Through role play practitioners model communication and interactions. Strong links with the </w:t>
            </w:r>
            <w:r w:rsidR="00746FA4">
              <w:rPr>
                <w:rFonts w:ascii="Comic Sans MS" w:hAnsi="Comic Sans MS"/>
              </w:rPr>
              <w:t xml:space="preserve">children and </w:t>
            </w:r>
            <w:proofErr w:type="gramStart"/>
            <w:r w:rsidR="00746FA4">
              <w:rPr>
                <w:rFonts w:ascii="Comic Sans MS" w:hAnsi="Comic Sans MS"/>
              </w:rPr>
              <w:t>families</w:t>
            </w:r>
            <w:proofErr w:type="gramEnd"/>
            <w:r w:rsidR="00746FA4">
              <w:rPr>
                <w:rFonts w:ascii="Comic Sans MS" w:hAnsi="Comic Sans MS"/>
              </w:rPr>
              <w:t xml:space="preserve"> well-being team</w:t>
            </w:r>
            <w:r w:rsidRPr="0048638A">
              <w:rPr>
                <w:rFonts w:ascii="Comic Sans MS" w:hAnsi="Comic Sans MS"/>
              </w:rPr>
              <w:t xml:space="preserve"> enables practitioners to signpost parents to other agencies for support and advice. Observations are used to support positive behaviour management.  Targeted Learning Plans are </w:t>
            </w:r>
            <w:r w:rsidR="00AF4282" w:rsidRPr="0048638A">
              <w:rPr>
                <w:rFonts w:ascii="Comic Sans MS" w:hAnsi="Comic Sans MS"/>
              </w:rPr>
              <w:t>developed,</w:t>
            </w:r>
            <w:r w:rsidRPr="0048638A">
              <w:rPr>
                <w:rFonts w:ascii="Comic Sans MS" w:hAnsi="Comic Sans MS"/>
              </w:rPr>
              <w:t xml:space="preserve"> and planning is differentiated and enhanced to meet needs. Visual resources are used</w:t>
            </w:r>
            <w:r w:rsidR="00EE05FD" w:rsidRPr="0048638A">
              <w:rPr>
                <w:rFonts w:ascii="Comic Sans MS" w:hAnsi="Comic Sans MS"/>
              </w:rPr>
              <w:t xml:space="preserve"> for a child to know what is happening to limit feelings of frustration. Advice is sought from the SEN Inclusion Teacher. For children showing delay in behaviour management and ‘ABC’ form is devised to highlight any triggers. The EYFS</w:t>
            </w:r>
            <w:r w:rsidR="00746FA4">
              <w:rPr>
                <w:rFonts w:ascii="Comic Sans MS" w:hAnsi="Comic Sans MS"/>
              </w:rPr>
              <w:t>/Birth to Five Matters</w:t>
            </w:r>
            <w:r w:rsidR="00EE05FD" w:rsidRPr="0048638A">
              <w:rPr>
                <w:rFonts w:ascii="Comic Sans MS" w:hAnsi="Comic Sans MS"/>
              </w:rPr>
              <w:t xml:space="preserve"> is used as a baseline for all assessments carried out.</w:t>
            </w:r>
          </w:p>
        </w:tc>
        <w:tc>
          <w:tcPr>
            <w:tcW w:w="3402" w:type="dxa"/>
          </w:tcPr>
          <w:p w14:paraId="66F189B2" w14:textId="77777777" w:rsidR="00133D77" w:rsidRDefault="00133D77" w:rsidP="00A22587">
            <w:pPr>
              <w:jc w:val="center"/>
            </w:pPr>
          </w:p>
        </w:tc>
      </w:tr>
      <w:tr w:rsidR="00133D77" w14:paraId="24CF1F3A" w14:textId="77777777" w:rsidTr="00133D77">
        <w:trPr>
          <w:cantSplit/>
          <w:trHeight w:val="1134"/>
        </w:trPr>
        <w:tc>
          <w:tcPr>
            <w:tcW w:w="499" w:type="dxa"/>
            <w:textDirection w:val="btLr"/>
          </w:tcPr>
          <w:p w14:paraId="367C3F41" w14:textId="29AA9E46" w:rsidR="00133D77" w:rsidRDefault="00E92B4A" w:rsidP="00133D77">
            <w:pPr>
              <w:ind w:left="113" w:right="113"/>
              <w:jc w:val="center"/>
              <w:rPr>
                <w:b/>
              </w:rPr>
            </w:pPr>
            <w:r>
              <w:rPr>
                <w:b/>
              </w:rPr>
              <w:lastRenderedPageBreak/>
              <w:t>SEN Support</w:t>
            </w:r>
          </w:p>
        </w:tc>
        <w:tc>
          <w:tcPr>
            <w:tcW w:w="3578" w:type="dxa"/>
          </w:tcPr>
          <w:p w14:paraId="579381CB" w14:textId="77777777" w:rsidR="00133D77" w:rsidRDefault="00133D77" w:rsidP="00A22587">
            <w:pPr>
              <w:jc w:val="center"/>
              <w:rPr>
                <w:b/>
              </w:rPr>
            </w:pPr>
            <w:r>
              <w:rPr>
                <w:b/>
              </w:rPr>
              <w:t xml:space="preserve">What do we provide to support children with more significant delay or difficulty in relation to their </w:t>
            </w:r>
            <w:r w:rsidR="00DE5F78">
              <w:rPr>
                <w:b/>
              </w:rPr>
              <w:t>social, emotional and behavioural</w:t>
            </w:r>
            <w:r>
              <w:rPr>
                <w:b/>
              </w:rPr>
              <w:t xml:space="preserve"> development – what is 'additional to or different from' that already provided universally or in 'catch up' provision?</w:t>
            </w:r>
          </w:p>
          <w:p w14:paraId="50E73923" w14:textId="1186B268" w:rsidR="00133D77" w:rsidRPr="00DC4046" w:rsidRDefault="00133D77" w:rsidP="00A22587">
            <w:pPr>
              <w:jc w:val="center"/>
              <w:rPr>
                <w:sz w:val="16"/>
                <w:szCs w:val="16"/>
              </w:rPr>
            </w:pPr>
          </w:p>
        </w:tc>
        <w:tc>
          <w:tcPr>
            <w:tcW w:w="3402" w:type="dxa"/>
          </w:tcPr>
          <w:p w14:paraId="5187DF3C" w14:textId="77777777" w:rsidR="00133D77" w:rsidRPr="0048638A" w:rsidRDefault="00EE05FD" w:rsidP="00EE05FD">
            <w:pPr>
              <w:rPr>
                <w:rFonts w:ascii="Comic Sans MS" w:hAnsi="Comic Sans MS"/>
              </w:rPr>
            </w:pPr>
            <w:r w:rsidRPr="0048638A">
              <w:rPr>
                <w:rFonts w:ascii="Comic Sans MS" w:hAnsi="Comic Sans MS"/>
              </w:rPr>
              <w:t>Environment and resources are adapted/enhanced based on child’s individual needs and targets/strategies agreed during TAC meetings and following advice from other professionals involved in care.</w:t>
            </w:r>
          </w:p>
        </w:tc>
        <w:tc>
          <w:tcPr>
            <w:tcW w:w="3402" w:type="dxa"/>
          </w:tcPr>
          <w:p w14:paraId="648BF3BC" w14:textId="2817CE3B" w:rsidR="00133D77" w:rsidRPr="0048638A" w:rsidRDefault="00EE05FD" w:rsidP="00EE05FD">
            <w:pPr>
              <w:rPr>
                <w:rFonts w:ascii="Comic Sans MS" w:hAnsi="Comic Sans MS"/>
              </w:rPr>
            </w:pPr>
            <w:r w:rsidRPr="0048638A">
              <w:rPr>
                <w:rFonts w:ascii="Comic Sans MS" w:hAnsi="Comic Sans MS"/>
              </w:rPr>
              <w:t>Regular meetings with parents and other professionals involved are held and targets set through Targeted Learning Plan. Advice sought from Educational Psychologist and HLTA if required. A</w:t>
            </w:r>
            <w:r w:rsidR="00AF4282">
              <w:rPr>
                <w:rFonts w:ascii="Comic Sans MS" w:hAnsi="Comic Sans MS"/>
              </w:rPr>
              <w:t>n</w:t>
            </w:r>
            <w:r w:rsidRPr="0048638A">
              <w:rPr>
                <w:rFonts w:ascii="Comic Sans MS" w:hAnsi="Comic Sans MS"/>
              </w:rPr>
              <w:t xml:space="preserve"> </w:t>
            </w:r>
            <w:r w:rsidR="00746FA4">
              <w:rPr>
                <w:rFonts w:ascii="Comic Sans MS" w:hAnsi="Comic Sans MS"/>
              </w:rPr>
              <w:t>EHA</w:t>
            </w:r>
            <w:r w:rsidRPr="0048638A">
              <w:rPr>
                <w:rFonts w:ascii="Comic Sans MS" w:hAnsi="Comic Sans MS"/>
              </w:rPr>
              <w:t xml:space="preserve"> is put in place if deemed necessary.  Practitioners carry out specific strategies as agreed by all professionals involved in care of child during TA</w:t>
            </w:r>
            <w:r w:rsidR="00746FA4">
              <w:rPr>
                <w:rFonts w:ascii="Comic Sans MS" w:hAnsi="Comic Sans MS"/>
              </w:rPr>
              <w:t>F</w:t>
            </w:r>
            <w:r w:rsidRPr="0048638A">
              <w:rPr>
                <w:rFonts w:ascii="Comic Sans MS" w:hAnsi="Comic Sans MS"/>
              </w:rPr>
              <w:t xml:space="preserve"> meetings.  On-going assessments are carried out using the EYFS</w:t>
            </w:r>
            <w:r w:rsidR="00746FA4">
              <w:rPr>
                <w:rFonts w:ascii="Comic Sans MS" w:hAnsi="Comic Sans MS"/>
              </w:rPr>
              <w:t>/Birth to Five Matters</w:t>
            </w:r>
            <w:r w:rsidRPr="0048638A">
              <w:rPr>
                <w:rFonts w:ascii="Comic Sans MS" w:hAnsi="Comic Sans MS"/>
              </w:rPr>
              <w:t xml:space="preserve"> as guidance</w:t>
            </w:r>
          </w:p>
        </w:tc>
        <w:tc>
          <w:tcPr>
            <w:tcW w:w="3402" w:type="dxa"/>
          </w:tcPr>
          <w:p w14:paraId="6812658F" w14:textId="77777777" w:rsidR="00133D77" w:rsidRDefault="00133D77" w:rsidP="00A22587">
            <w:pPr>
              <w:jc w:val="center"/>
            </w:pPr>
          </w:p>
        </w:tc>
      </w:tr>
    </w:tbl>
    <w:p w14:paraId="38EDCCB6" w14:textId="77777777" w:rsidR="00A22587" w:rsidRDefault="00A22587" w:rsidP="00133D77"/>
    <w:sectPr w:rsidR="00A22587" w:rsidSect="00133D77">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2587"/>
    <w:rsid w:val="0007511B"/>
    <w:rsid w:val="000F5631"/>
    <w:rsid w:val="00133D77"/>
    <w:rsid w:val="00144AAF"/>
    <w:rsid w:val="001A0EF4"/>
    <w:rsid w:val="001A0FB5"/>
    <w:rsid w:val="001C6E8D"/>
    <w:rsid w:val="00245E9F"/>
    <w:rsid w:val="003530AE"/>
    <w:rsid w:val="003F1AAC"/>
    <w:rsid w:val="00472305"/>
    <w:rsid w:val="0048638A"/>
    <w:rsid w:val="004A5CDD"/>
    <w:rsid w:val="006674B9"/>
    <w:rsid w:val="006862F9"/>
    <w:rsid w:val="006A6F16"/>
    <w:rsid w:val="006C7974"/>
    <w:rsid w:val="00746FA4"/>
    <w:rsid w:val="00782BB8"/>
    <w:rsid w:val="0078736C"/>
    <w:rsid w:val="008637A4"/>
    <w:rsid w:val="00977E5E"/>
    <w:rsid w:val="0098492F"/>
    <w:rsid w:val="00A22587"/>
    <w:rsid w:val="00AF4282"/>
    <w:rsid w:val="00BC546D"/>
    <w:rsid w:val="00BD570C"/>
    <w:rsid w:val="00C92C62"/>
    <w:rsid w:val="00D50A8B"/>
    <w:rsid w:val="00DB3140"/>
    <w:rsid w:val="00DC4046"/>
    <w:rsid w:val="00DE5F78"/>
    <w:rsid w:val="00DE616C"/>
    <w:rsid w:val="00E67194"/>
    <w:rsid w:val="00E92B4A"/>
    <w:rsid w:val="00EC6E5C"/>
    <w:rsid w:val="00EE05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09F90"/>
  <w15:docId w15:val="{875E9354-F3C3-48D2-BB3E-F68178A98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1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A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661</Words>
  <Characters>3821</Characters>
  <Application>Microsoft Office Word</Application>
  <DocSecurity>0</DocSecurity>
  <Lines>238</Lines>
  <Paragraphs>27</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hconnolly001</dc:creator>
  <cp:lastModifiedBy>Gillian Whitaker</cp:lastModifiedBy>
  <cp:revision>11</cp:revision>
  <cp:lastPrinted>2016-08-02T12:23:00Z</cp:lastPrinted>
  <dcterms:created xsi:type="dcterms:W3CDTF">2014-04-08T15:20:00Z</dcterms:created>
  <dcterms:modified xsi:type="dcterms:W3CDTF">2025-11-11T14:23:00Z</dcterms:modified>
</cp:coreProperties>
</file>